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069AE6" w14:textId="77777777" w:rsidR="002F25CE" w:rsidRPr="002F25CE" w:rsidRDefault="002F25CE" w:rsidP="002F25CE">
      <w:pPr>
        <w:keepNext/>
        <w:keepLines/>
        <w:spacing w:after="0" w:line="240" w:lineRule="auto"/>
        <w:jc w:val="both"/>
        <w:outlineLvl w:val="0"/>
        <w:rPr>
          <w:rFonts w:ascii="Times New Roman" w:eastAsia="Times New Roman" w:hAnsi="Times New Roman" w:cs="Times New Roman"/>
          <w:b/>
          <w:sz w:val="24"/>
          <w:szCs w:val="24"/>
          <w:lang w:eastAsia="tr-TR"/>
        </w:rPr>
      </w:pPr>
      <w:r w:rsidRPr="002F25CE">
        <w:rPr>
          <w:rFonts w:ascii="Times New Roman" w:eastAsia="Times New Roman" w:hAnsi="Times New Roman" w:cs="Times New Roman"/>
          <w:b/>
          <w:sz w:val="24"/>
          <w:szCs w:val="24"/>
          <w:lang w:eastAsia="tr-TR"/>
        </w:rPr>
        <w:t>EK-1:</w:t>
      </w:r>
      <w:r w:rsidRPr="002F25CE">
        <w:rPr>
          <w:rFonts w:ascii="Times New Roman" w:eastAsia="Times New Roman" w:hAnsi="Times New Roman" w:cs="Times New Roman"/>
          <w:b/>
          <w:sz w:val="24"/>
          <w:szCs w:val="24"/>
          <w:lang w:eastAsia="tr-TR"/>
        </w:rPr>
        <w:tab/>
        <w:t>İŞKUR Gençlik Programı Katılımcı Taahhütnamesi</w:t>
      </w:r>
    </w:p>
    <w:p w14:paraId="6E71378D"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 xml:space="preserve">Katıldığınız bu program; Türkiye İş Kurumu Genel Müdürlüğü </w:t>
      </w:r>
      <w:r w:rsidRPr="002F25CE">
        <w:rPr>
          <w:rFonts w:ascii="Times New Roman" w:eastAsia="Calibri" w:hAnsi="Times New Roman" w:cs="Times New Roman"/>
          <w:b/>
          <w:sz w:val="24"/>
          <w:szCs w:val="24"/>
        </w:rPr>
        <w:t>Gümüşhane Çalışma ve İş Kurumu İl Müdürlüğü</w:t>
      </w:r>
      <w:r w:rsidRPr="002F25CE">
        <w:rPr>
          <w:rFonts w:ascii="Times New Roman" w:eastAsia="Calibri" w:hAnsi="Times New Roman" w:cs="Times New Roman"/>
          <w:sz w:val="24"/>
          <w:szCs w:val="24"/>
        </w:rPr>
        <w:t xml:space="preserve"> ve yüklenici kurum/kuruluş olarak adlandırılan </w:t>
      </w:r>
      <w:r w:rsidRPr="002F25CE">
        <w:rPr>
          <w:rFonts w:ascii="Times New Roman" w:eastAsia="Calibri" w:hAnsi="Times New Roman" w:cs="Times New Roman"/>
          <w:b/>
          <w:sz w:val="24"/>
          <w:szCs w:val="24"/>
        </w:rPr>
        <w:t>Gümüşhane Üniversitesi</w:t>
      </w:r>
      <w:r w:rsidRPr="002F25CE">
        <w:rPr>
          <w:rFonts w:ascii="Times New Roman" w:eastAsia="Calibri" w:hAnsi="Times New Roman" w:cs="Times New Roman"/>
          <w:sz w:val="24"/>
          <w:szCs w:val="24"/>
        </w:rPr>
        <w:t xml:space="preserve"> iş birliği ile düzenlenmektedir. Programa katılabilmeniz ve programın başarıyla tamamlanıp amacına ulaşabilmesi için, aşağıdaki hususların tarafınızdan bilinmesi, kabul edilmesi ve bu taahhütnamenin imzalanması gerekmektedir.</w:t>
      </w:r>
    </w:p>
    <w:p w14:paraId="086D1FCD"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1.</w:t>
      </w:r>
      <w:r w:rsidRPr="002F25CE">
        <w:rPr>
          <w:rFonts w:ascii="Times New Roman" w:eastAsia="Calibri" w:hAnsi="Times New Roman" w:cs="Times New Roman"/>
          <w:sz w:val="24"/>
          <w:szCs w:val="24"/>
        </w:rPr>
        <w:t xml:space="preserve"> İŞKUR Gençlik Programı;</w:t>
      </w:r>
      <w:r w:rsidRPr="002F25CE">
        <w:rPr>
          <w:rFonts w:ascii="Calibri" w:eastAsia="Calibri" w:hAnsi="Calibri" w:cs="Times New Roman"/>
        </w:rPr>
        <w:t xml:space="preserve"> </w:t>
      </w:r>
      <w:r w:rsidRPr="002F25CE">
        <w:rPr>
          <w:rFonts w:ascii="Times New Roman" w:eastAsia="Calibri" w:hAnsi="Times New Roman" w:cs="Times New Roman"/>
        </w:rPr>
        <w:t>Üniversite</w:t>
      </w:r>
      <w:r w:rsidRPr="002F25CE">
        <w:rPr>
          <w:rFonts w:ascii="Calibri" w:eastAsia="Calibri" w:hAnsi="Calibri" w:cs="Times New Roman"/>
        </w:rPr>
        <w:t xml:space="preserve"> </w:t>
      </w:r>
      <w:r w:rsidRPr="002F25CE">
        <w:rPr>
          <w:rFonts w:ascii="Times New Roman" w:eastAsia="Calibri" w:hAnsi="Times New Roman" w:cs="Times New Roman"/>
        </w:rPr>
        <w:t>ö</w:t>
      </w:r>
      <w:r w:rsidRPr="002F25CE">
        <w:rPr>
          <w:rFonts w:ascii="Times New Roman" w:eastAsia="Calibri" w:hAnsi="Times New Roman" w:cs="Times New Roman"/>
          <w:sz w:val="24"/>
          <w:szCs w:val="24"/>
        </w:rPr>
        <w:t>ğrencilerinin istihdam edilebilirliğini artıracak bilgi, beceri, çalışma alışkanlığı ve disiplinini kazandırmak üzere Türkiye İş Kurumu tarafından</w:t>
      </w:r>
      <w:r w:rsidRPr="002F25CE">
        <w:rPr>
          <w:rFonts w:ascii="Calibri" w:eastAsia="Calibri" w:hAnsi="Calibri" w:cs="Times New Roman"/>
        </w:rPr>
        <w:t xml:space="preserve"> </w:t>
      </w:r>
      <w:sdt>
        <w:sdtPr>
          <w:rPr>
            <w:rFonts w:ascii="Calibri" w:eastAsia="Calibri" w:hAnsi="Calibri" w:cs="Times New Roman"/>
          </w:rPr>
          <w:tag w:val="goog_rdk_2"/>
          <w:id w:val="52906053"/>
          <w:showingPlcHdr/>
        </w:sdtPr>
        <w:sdtContent>
          <w:r w:rsidRPr="002F25CE">
            <w:rPr>
              <w:rFonts w:ascii="Calibri" w:eastAsia="Calibri" w:hAnsi="Calibri" w:cs="Times New Roman"/>
            </w:rPr>
            <w:t xml:space="preserve">     </w:t>
          </w:r>
        </w:sdtContent>
      </w:sdt>
      <w:r w:rsidRPr="002F25CE">
        <w:rPr>
          <w:rFonts w:ascii="Times New Roman" w:eastAsia="Times New Roman" w:hAnsi="Times New Roman" w:cs="Times New Roman"/>
          <w:sz w:val="24"/>
          <w:szCs w:val="24"/>
        </w:rPr>
        <w:t xml:space="preserve">10.12.2003 tarihli ve 25326 sayılı </w:t>
      </w:r>
      <w:proofErr w:type="gramStart"/>
      <w:r w:rsidRPr="002F25CE">
        <w:rPr>
          <w:rFonts w:ascii="Times New Roman" w:eastAsia="Times New Roman" w:hAnsi="Times New Roman" w:cs="Times New Roman"/>
          <w:sz w:val="24"/>
          <w:szCs w:val="24"/>
        </w:rPr>
        <w:t>Resmi</w:t>
      </w:r>
      <w:proofErr w:type="gramEnd"/>
      <w:r w:rsidRPr="002F25CE">
        <w:rPr>
          <w:rFonts w:ascii="Times New Roman" w:eastAsia="Times New Roman" w:hAnsi="Times New Roman" w:cs="Times New Roman"/>
          <w:sz w:val="24"/>
          <w:szCs w:val="24"/>
        </w:rPr>
        <w:t xml:space="preserve"> </w:t>
      </w:r>
      <w:proofErr w:type="spellStart"/>
      <w:r w:rsidRPr="002F25CE">
        <w:rPr>
          <w:rFonts w:ascii="Times New Roman" w:eastAsia="Times New Roman" w:hAnsi="Times New Roman" w:cs="Times New Roman"/>
          <w:sz w:val="24"/>
          <w:szCs w:val="24"/>
        </w:rPr>
        <w:t>Gazete’de</w:t>
      </w:r>
      <w:proofErr w:type="spellEnd"/>
      <w:r w:rsidRPr="002F25CE">
        <w:rPr>
          <w:rFonts w:ascii="Times New Roman" w:eastAsia="Times New Roman" w:hAnsi="Times New Roman" w:cs="Times New Roman"/>
          <w:sz w:val="24"/>
          <w:szCs w:val="24"/>
        </w:rPr>
        <w:t xml:space="preserve"> yayımlanan 5018 sayılı Kamu Mali Yönetimi ve Kontrol Kanununun ekli listesinde</w:t>
      </w:r>
      <w:r w:rsidRPr="002F25CE">
        <w:rPr>
          <w:rFonts w:ascii="Calibri" w:eastAsia="Calibri" w:hAnsi="Calibri" w:cs="Times New Roman"/>
          <w:b/>
        </w:rPr>
        <w:t xml:space="preserve"> </w:t>
      </w:r>
      <w:r w:rsidRPr="002F25CE">
        <w:rPr>
          <w:rFonts w:ascii="Times New Roman" w:eastAsia="Times New Roman" w:hAnsi="Times New Roman" w:cs="Times New Roman"/>
          <w:sz w:val="24"/>
          <w:szCs w:val="24"/>
        </w:rPr>
        <w:t>yer alan</w:t>
      </w:r>
      <w:r w:rsidRPr="002F25CE">
        <w:rPr>
          <w:rFonts w:ascii="Times New Roman" w:eastAsia="Calibri" w:hAnsi="Times New Roman" w:cs="Times New Roman"/>
          <w:sz w:val="24"/>
          <w:szCs w:val="24"/>
        </w:rPr>
        <w:t xml:space="preserve"> devlet üniversiteleri ile iş birliği yapılarak düzenlenen ve işgücü uyum programı uygulaması olan bir aktif işgücü programıdır.</w:t>
      </w:r>
    </w:p>
    <w:p w14:paraId="5D69AD73"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2.</w:t>
      </w:r>
      <w:r w:rsidRPr="002F25CE">
        <w:rPr>
          <w:rFonts w:ascii="Times New Roman" w:eastAsia="Calibri" w:hAnsi="Times New Roman" w:cs="Times New Roman"/>
          <w:sz w:val="24"/>
          <w:szCs w:val="24"/>
        </w:rPr>
        <w:t xml:space="preserve"> Türkiye İş Kurumu, 5510 sayılı Kanunun 5 inci maddesinin birinci fıkrasının (e) bendi kapsamında işyeri ve işveren sayılmaz.</w:t>
      </w:r>
    </w:p>
    <w:p w14:paraId="3A2FF489"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 xml:space="preserve">3. </w:t>
      </w:r>
      <w:r w:rsidRPr="002F25CE">
        <w:rPr>
          <w:rFonts w:ascii="Times New Roman" w:eastAsia="Calibri" w:hAnsi="Times New Roman" w:cs="Times New Roman"/>
          <w:sz w:val="24"/>
          <w:szCs w:val="24"/>
        </w:rPr>
        <w:t xml:space="preserve">Programa katılım şartlarına ilişkin hususlar İşgücü Uyum Programlarının Yürütülmesine İlişkin Usul ve Esaslar Hakkında Yönetmelik, İŞKUR Gençlik Programının Yürütülmesine İlişkin Usul ve Esaslar Hakkında Genelge ve bu Genelgede hüküm bulunmayan haller için İşgücü Uyum Programının Yürütülmesine İlişkin Usul ve Esaslar Hakkında Genelge’nin ilgili maddelerinde sayılmıştır. Bu hususlara ilişkin açıklamalar aşağıda yer almaktadır. Bu kapsamda söz konusu katılım şartlarının programa başvuru tarihinde, programa başlama tarihinde ve program süresince taşınması gerekmektedir. Ancak İşgücü Uyum Programının Yürütülmesine İlişkin Usul ve Esaslar Hakkında Yönetmeliğin </w:t>
      </w:r>
      <w:proofErr w:type="gramStart"/>
      <w:r w:rsidRPr="002F25CE">
        <w:rPr>
          <w:rFonts w:ascii="Times New Roman" w:eastAsia="Calibri" w:hAnsi="Times New Roman" w:cs="Times New Roman"/>
          <w:sz w:val="24"/>
          <w:szCs w:val="24"/>
        </w:rPr>
        <w:t xml:space="preserve">7 </w:t>
      </w:r>
      <w:proofErr w:type="spellStart"/>
      <w:r w:rsidRPr="002F25CE">
        <w:rPr>
          <w:rFonts w:ascii="Times New Roman" w:eastAsia="Calibri" w:hAnsi="Times New Roman" w:cs="Times New Roman"/>
          <w:sz w:val="24"/>
          <w:szCs w:val="24"/>
        </w:rPr>
        <w:t>nci</w:t>
      </w:r>
      <w:proofErr w:type="spellEnd"/>
      <w:proofErr w:type="gramEnd"/>
      <w:r w:rsidRPr="002F25CE">
        <w:rPr>
          <w:rFonts w:ascii="Times New Roman" w:eastAsia="Calibri" w:hAnsi="Times New Roman" w:cs="Times New Roman"/>
          <w:sz w:val="24"/>
          <w:szCs w:val="24"/>
        </w:rPr>
        <w:t xml:space="preserve"> maddesinin birinci fıkrasının (e) bendinde yer alan şartlardan uzun vadeli sigortalı olmamaya yönelik şartın programa başvuru ve başlama tarihinde, (g) bendinde belirtilen hane gelir şartının ise programa başlama tarihinde sağlanması yeterlidir.</w:t>
      </w:r>
    </w:p>
    <w:p w14:paraId="5CC50ADA"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a) Türkiye Cumhuriyeti vatandaşı olmak: Programa başvurduğu tarihte ve program süresince Türkiye Cumhuriyeti Devletine vatandaşlık bağıyla bağlı olmayı ifade eder. 25/9/1981 tarihli ve 2527 sayılı Türk Soylu Yabancıların Türkiye'de Meslek ve Sanatlarını Serbestçe Yapabilmelerine, Kamu, Özel Kuruluş veya İşyerlerinde Çalıştırılabilmelerine İlişkin Kanun hükümleri kapsamında olanlar için Türkiye Cumhuriyeti vatandaşı olma şartı aranmaz.</w:t>
      </w:r>
    </w:p>
    <w:p w14:paraId="0E3E3A4B"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b) Kuruma kayıtlı olmak: Programa başvurduğu tarihte kişinin Kuruma kayıtlı olmasını ifade eder.</w:t>
      </w:r>
    </w:p>
    <w:p w14:paraId="044F14B5"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c) 18 yaşını tamamlamış olmak: Programa başvurduğu tarihte kişinin 18 yaşını tamamlayarak 19 yaşından gün almış olmasını ifade eder.</w:t>
      </w:r>
    </w:p>
    <w:p w14:paraId="68DA25D7" w14:textId="77777777" w:rsidR="002F25CE" w:rsidRPr="002F25CE" w:rsidRDefault="002F25CE" w:rsidP="002F25CE">
      <w:pPr>
        <w:spacing w:after="0"/>
        <w:jc w:val="both"/>
        <w:rPr>
          <w:rFonts w:ascii="Times New Roman" w:eastAsia="Calibri" w:hAnsi="Times New Roman" w:cs="Times New Roman"/>
          <w:sz w:val="24"/>
          <w:szCs w:val="24"/>
        </w:rPr>
      </w:pPr>
      <w:proofErr w:type="gramStart"/>
      <w:r w:rsidRPr="002F25CE">
        <w:rPr>
          <w:rFonts w:ascii="Times New Roman" w:eastAsia="Calibri" w:hAnsi="Times New Roman" w:cs="Times New Roman"/>
          <w:sz w:val="24"/>
          <w:szCs w:val="24"/>
        </w:rPr>
        <w:t>ç</w:t>
      </w:r>
      <w:proofErr w:type="gramEnd"/>
      <w:r w:rsidRPr="002F25CE">
        <w:rPr>
          <w:rFonts w:ascii="Times New Roman" w:eastAsia="Calibri" w:hAnsi="Times New Roman" w:cs="Times New Roman"/>
          <w:sz w:val="24"/>
          <w:szCs w:val="24"/>
        </w:rPr>
        <w:t xml:space="preserve">) Yaşlılık veya malullük aylığı almamak: </w:t>
      </w:r>
      <w:r w:rsidRPr="002F25CE">
        <w:rPr>
          <w:rFonts w:ascii="Times New Roman" w:eastAsia="Calibri" w:hAnsi="Times New Roman" w:cs="Times New Roman"/>
          <w:color w:val="000000"/>
          <w:sz w:val="24"/>
          <w:szCs w:val="24"/>
        </w:rPr>
        <w:t>Kişinin SGK sistemi üzerinden yapılacak</w:t>
      </w:r>
      <w:r w:rsidRPr="002F25CE">
        <w:rPr>
          <w:rFonts w:ascii="Times New Roman" w:eastAsia="Calibri" w:hAnsi="Times New Roman" w:cs="Times New Roman"/>
          <w:sz w:val="24"/>
          <w:szCs w:val="24"/>
        </w:rPr>
        <w:t xml:space="preserve"> sorgulamasında kendi sigortalılıkları nedeniyle sosyal güvenlik kanunları çerçevesinde yaşlılık, malullük veya vazife malullüğü aylığı bağlanmamış olmasını ifade eder. Ancak 5510 sayılı Kanunun 19 uncu maddesinin birinci fıkrası kapsamında sürekli iş göremezlik ödeneği alanlar ile ölüm aylığı alanlar programa başvuru yapabilir ve katılımcı olabilir. </w:t>
      </w:r>
    </w:p>
    <w:p w14:paraId="13EA8AE4"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d) Program talep tarihinden önceki bir yıldan programın fiilen başlayacağı tarihe kadar yüklenicinin veya bağlı, ilgili, ilişkili ve yan kuruluşlarının çalışanı olmamak; Talep Formunun doldurulduğu tarihten önceki bir yıldan programın fiilen başlayacağı tarihe kadarki süre içerisinde yüklenicinin veya bağlı, ilgili, ilişkili ve yan kuruluşlarının çalışanı olmamayı ifade eder.</w:t>
      </w:r>
    </w:p>
    <w:p w14:paraId="27DF01E1"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 xml:space="preserve">e) Başvuru tarihinden önceki son bir aylık sürede 5510 sayılı Kanunun </w:t>
      </w:r>
      <w:proofErr w:type="gramStart"/>
      <w:r w:rsidRPr="002F25CE">
        <w:rPr>
          <w:rFonts w:ascii="Times New Roman" w:eastAsia="Calibri" w:hAnsi="Times New Roman" w:cs="Times New Roman"/>
          <w:sz w:val="24"/>
          <w:szCs w:val="24"/>
        </w:rPr>
        <w:t>4 üncü</w:t>
      </w:r>
      <w:proofErr w:type="gramEnd"/>
      <w:r w:rsidRPr="002F25CE">
        <w:rPr>
          <w:rFonts w:ascii="Times New Roman" w:eastAsia="Calibri" w:hAnsi="Times New Roman" w:cs="Times New Roman"/>
          <w:sz w:val="24"/>
          <w:szCs w:val="24"/>
        </w:rPr>
        <w:t xml:space="preserve"> maddesi kapsamında sigortalı olarak bildirilmemiş olmak veya sigortalı sayılmamak: </w:t>
      </w:r>
      <w:r w:rsidRPr="002F25CE">
        <w:rPr>
          <w:rFonts w:ascii="Times New Roman" w:eastAsia="Calibri" w:hAnsi="Times New Roman" w:cs="Times New Roman"/>
          <w:color w:val="000000"/>
          <w:sz w:val="24"/>
          <w:szCs w:val="24"/>
        </w:rPr>
        <w:t>Kişinin SGK sistemi üzerinden yapılacak</w:t>
      </w:r>
      <w:r w:rsidRPr="002F25CE">
        <w:rPr>
          <w:rFonts w:ascii="Times New Roman" w:eastAsia="Calibri" w:hAnsi="Times New Roman" w:cs="Times New Roman"/>
          <w:sz w:val="24"/>
          <w:szCs w:val="24"/>
        </w:rPr>
        <w:t xml:space="preserve"> sorgulamasında veya belge ile yapılacak kontrollerde başvuru tarihinden önceki son bir aylık sürede sigortalı olmamasını ifade eder. Başvuranın programa </w:t>
      </w:r>
      <w:r w:rsidRPr="002F25CE">
        <w:rPr>
          <w:rFonts w:ascii="Times New Roman" w:eastAsia="Calibri" w:hAnsi="Times New Roman" w:cs="Times New Roman"/>
          <w:sz w:val="24"/>
          <w:szCs w:val="24"/>
        </w:rPr>
        <w:lastRenderedPageBreak/>
        <w:t xml:space="preserve">katılımcı olarak seçilmesi durumunda program başlangıç tarihinde de bu şartı sağlaması gerekmektedir. Yedekten programa eklenecek olanların ise hem başvuru tarihinde hem programa başlama tarihinde bu şartı sağlaması gerekmektedir. Yedek liste dışından programa eklenecek kişiler için bu şartın programa başlama tarihinde sağlanması gerekmektedir. </w:t>
      </w:r>
    </w:p>
    <w:p w14:paraId="3157DF4B"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 xml:space="preserve">f) Başvuru tarihi itibarıyla 5510 sayılı Kanunun 5 inci maddesi kapsamında sigortalı olarak bildirilmemiş olmak veya sigortalı sayılmamak: Kişinin yalnızca başvuru yaptığı tarihte anılan madde kapsamında sigortalı sayılmamasını ifade eder. Başvuranın programa katılımcı olarak seçilmesi durumunda program başlangıç tarihinde ve program devam süresince bu şartı sağlaması gerekmektedir. Yedekten programa eklenecek olanların ise hem başvuru tarihinde hem programa başlama tarihinde hem de programa devam süresince bu şartı sağlaması gerekmektedir. Yedek liste dışından programa eklenecek kişiler için bu şartın kişinin programa başlama tarihinde ve programa devam süresince sağlaması gerekmektedir. </w:t>
      </w:r>
    </w:p>
    <w:p w14:paraId="131E0FD3"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 xml:space="preserve">g) Hane gelir şartını sağlamak: Başvuru tarihindeki </w:t>
      </w:r>
      <w:proofErr w:type="spellStart"/>
      <w:r w:rsidRPr="002F25CE">
        <w:rPr>
          <w:rFonts w:ascii="Times New Roman" w:eastAsia="Calibri" w:hAnsi="Times New Roman" w:cs="Times New Roman"/>
          <w:sz w:val="24"/>
          <w:szCs w:val="24"/>
        </w:rPr>
        <w:t>AKS’ye</w:t>
      </w:r>
      <w:proofErr w:type="spellEnd"/>
      <w:r w:rsidRPr="002F25CE">
        <w:rPr>
          <w:rFonts w:ascii="Times New Roman" w:eastAsia="Calibri" w:hAnsi="Times New Roman" w:cs="Times New Roman"/>
          <w:sz w:val="24"/>
          <w:szCs w:val="24"/>
        </w:rPr>
        <w:t xml:space="preserve"> göre aynı adreste ikamet edenlerin, programa başlangıç tarihi dikkate alınarak ulaşılabilen en yakın döneme ait gelir getirici bir işte çalışma sonucu elde ettikleri aylık toplam kazançlarının asgari ücret tespit komisyonu tarafından belirlenen bir aylık asgari ücretin net tutarının üç (3) katını aşması halinde söz konusu adreste ikamet eden öğrenciler programa katılamaz.  Bu şart Genelge’nin 10 uncu maddesinin ikinci fıkrası kapsamında programa eklenecek öğrenciler için de aranır. Yerleşim yeri adresi yurtlar ve sığınma evleri ve benzeri toplu yaşam alanları olanlar ile 8/03/2012 tarihli ve 6284 sayılı Ailenin Korunması ve Kadına Karşı Şiddetin Önlenmesine Dair Kanun kapsamında kimlik bilgileri gizlenenler için hane gelir şartı aranmaz.</w:t>
      </w:r>
    </w:p>
    <w:p w14:paraId="0351C163" w14:textId="77777777" w:rsidR="002F25CE" w:rsidRPr="002F25CE" w:rsidRDefault="002F25CE" w:rsidP="002F25CE">
      <w:pPr>
        <w:spacing w:after="0"/>
        <w:jc w:val="both"/>
        <w:rPr>
          <w:rFonts w:ascii="Times New Roman" w:eastAsia="Calibri" w:hAnsi="Times New Roman" w:cs="Times New Roman"/>
          <w:sz w:val="24"/>
          <w:szCs w:val="24"/>
        </w:rPr>
      </w:pPr>
      <w:proofErr w:type="gramStart"/>
      <w:r w:rsidRPr="002F25CE">
        <w:rPr>
          <w:rFonts w:ascii="Times New Roman" w:eastAsia="Calibri" w:hAnsi="Times New Roman" w:cs="Times New Roman"/>
          <w:sz w:val="24"/>
          <w:szCs w:val="24"/>
        </w:rPr>
        <w:t>ğ</w:t>
      </w:r>
      <w:proofErr w:type="gramEnd"/>
      <w:r w:rsidRPr="002F25CE">
        <w:rPr>
          <w:rFonts w:ascii="Times New Roman" w:eastAsia="Calibri" w:hAnsi="Times New Roman" w:cs="Times New Roman"/>
          <w:sz w:val="24"/>
          <w:szCs w:val="24"/>
        </w:rPr>
        <w:t>) Kurum tarafından sunulan aktif işgücü veya işsizlik sigortası programlarının yararlanıcısı olmamak: Kurum tarafından sunulan aktif veya işsizlik sigortası programlarından yararlananlar programlara başvuru yapamayacağı gibi katılımcı da olamazlar. Programa devam ederken Kurum tarafından sunulan aktif işgücü veya işsizlik sigortası programlarının yararlanıcısı olduğu tespit edilenlerin programdan mazeretsiz nedenle ayrılışı yapılır.</w:t>
      </w:r>
    </w:p>
    <w:p w14:paraId="72749B20"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4.</w:t>
      </w:r>
      <w:r w:rsidRPr="002F25CE">
        <w:rPr>
          <w:rFonts w:ascii="Times New Roman" w:eastAsia="Calibri" w:hAnsi="Times New Roman" w:cs="Times New Roman"/>
          <w:sz w:val="24"/>
          <w:szCs w:val="24"/>
        </w:rPr>
        <w:t xml:space="preserve"> Hane gelir kontrolü, program başlangıç tarihi itibarıyla ulaşılabilen en yakın dönemdeki belgelendirilebilen gelirler üzerinden kişinin başvuru tarihindeki hanesinde yer alanlar için program başlangıcında bir defa yapılır. Ayrıca yedekten veya yedek listenin bitmesi durumunda yedek liste dışından yapılan eklemelerde kişinin programa eklendiği tarih itibarıyla bir defa yapılır ve bu kontrol, kişinin programa eklenme tarihindeki asgari ücret düzeyi esas alınarak yapılır.</w:t>
      </w:r>
    </w:p>
    <w:p w14:paraId="7E700240"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5.</w:t>
      </w:r>
      <w:r w:rsidRPr="002F25CE">
        <w:rPr>
          <w:rFonts w:ascii="Times New Roman" w:eastAsia="Calibri" w:hAnsi="Times New Roman" w:cs="Times New Roman"/>
          <w:sz w:val="24"/>
          <w:szCs w:val="24"/>
        </w:rPr>
        <w:t xml:space="preserve"> Terör örgütlerine veya Devletin millî güvenliğine karşı faaliyette bulunduğuna karar verilen yapı, oluşum veya gruplara üyeliği, mensubiyeti veya iltisakı yahut bunlarla irtibatı olan kişiler programa katılamaz. Programa katılıp bu durumu sonradan tespit edilenlerin programdan çıkışı verilir.</w:t>
      </w:r>
    </w:p>
    <w:p w14:paraId="2A134A1C"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6.</w:t>
      </w:r>
      <w:r w:rsidRPr="002F25CE">
        <w:rPr>
          <w:rFonts w:ascii="Times New Roman" w:eastAsia="Calibri" w:hAnsi="Times New Roman" w:cs="Times New Roman"/>
          <w:sz w:val="24"/>
          <w:szCs w:val="24"/>
        </w:rPr>
        <w:t xml:space="preserve"> Yönetmelik, İŞKUR Gençlik Programının Yürütülmesine İlişkin Usul ve Esaslar Hakkında Genelge</w:t>
      </w:r>
      <w:r w:rsidRPr="002F25CE" w:rsidDel="008C4B09">
        <w:rPr>
          <w:rFonts w:ascii="Times New Roman" w:eastAsia="Calibri" w:hAnsi="Times New Roman" w:cs="Times New Roman"/>
          <w:sz w:val="24"/>
          <w:szCs w:val="24"/>
        </w:rPr>
        <w:t xml:space="preserve"> </w:t>
      </w:r>
      <w:r w:rsidRPr="002F25CE">
        <w:rPr>
          <w:rFonts w:ascii="Times New Roman" w:eastAsia="Calibri" w:hAnsi="Times New Roman" w:cs="Times New Roman"/>
          <w:sz w:val="24"/>
          <w:szCs w:val="24"/>
        </w:rPr>
        <w:t xml:space="preserve">ve İşgücü Uyum Programının Yürütülmesine İlişkin Usul ve Esaslar Hakkında Genelge ile belirlenen uyulmakla yükümlü olunan hususları taşımadığı/ihlal ettiği belirlenen katılımcıların tespit tarihinden itibaren program ile ilişiği kesilerek, Yönetmeliğin </w:t>
      </w:r>
      <w:proofErr w:type="gramStart"/>
      <w:r w:rsidRPr="002F25CE">
        <w:rPr>
          <w:rFonts w:ascii="Times New Roman" w:eastAsia="Calibri" w:hAnsi="Times New Roman" w:cs="Times New Roman"/>
          <w:sz w:val="24"/>
          <w:szCs w:val="24"/>
        </w:rPr>
        <w:t xml:space="preserve">17 </w:t>
      </w:r>
      <w:proofErr w:type="spellStart"/>
      <w:r w:rsidRPr="002F25CE">
        <w:rPr>
          <w:rFonts w:ascii="Times New Roman" w:eastAsia="Calibri" w:hAnsi="Times New Roman" w:cs="Times New Roman"/>
          <w:sz w:val="24"/>
          <w:szCs w:val="24"/>
        </w:rPr>
        <w:t>nci</w:t>
      </w:r>
      <w:proofErr w:type="spellEnd"/>
      <w:proofErr w:type="gramEnd"/>
      <w:r w:rsidRPr="002F25CE">
        <w:rPr>
          <w:rFonts w:ascii="Times New Roman" w:eastAsia="Calibri" w:hAnsi="Times New Roman" w:cs="Times New Roman"/>
          <w:sz w:val="24"/>
          <w:szCs w:val="24"/>
        </w:rPr>
        <w:t xml:space="preserve"> maddesinin dördüncü fıkrasına göre haklarında işlem yapılır. Yönetmeliğin </w:t>
      </w:r>
      <w:proofErr w:type="gramStart"/>
      <w:r w:rsidRPr="002F25CE">
        <w:rPr>
          <w:rFonts w:ascii="Times New Roman" w:eastAsia="Calibri" w:hAnsi="Times New Roman" w:cs="Times New Roman"/>
          <w:sz w:val="24"/>
          <w:szCs w:val="24"/>
        </w:rPr>
        <w:t xml:space="preserve">7 </w:t>
      </w:r>
      <w:proofErr w:type="spellStart"/>
      <w:r w:rsidRPr="002F25CE">
        <w:rPr>
          <w:rFonts w:ascii="Times New Roman" w:eastAsia="Calibri" w:hAnsi="Times New Roman" w:cs="Times New Roman"/>
          <w:sz w:val="24"/>
          <w:szCs w:val="24"/>
        </w:rPr>
        <w:t>nci</w:t>
      </w:r>
      <w:proofErr w:type="spellEnd"/>
      <w:proofErr w:type="gramEnd"/>
      <w:r w:rsidRPr="002F25CE">
        <w:rPr>
          <w:rFonts w:ascii="Times New Roman" w:eastAsia="Calibri" w:hAnsi="Times New Roman" w:cs="Times New Roman"/>
          <w:sz w:val="24"/>
          <w:szCs w:val="24"/>
        </w:rPr>
        <w:t xml:space="preserve"> maddesinde ve Genelgelerin ilgili maddelerinde yer alan başvuru ve katılım şartları ve eklerinde belirlenen diğer tüm şartlara ilişkin bilgi ve belge kontrolünden yüklenici sorumludur. Yönetmeliğin </w:t>
      </w:r>
      <w:proofErr w:type="gramStart"/>
      <w:r w:rsidRPr="002F25CE">
        <w:rPr>
          <w:rFonts w:ascii="Times New Roman" w:eastAsia="Calibri" w:hAnsi="Times New Roman" w:cs="Times New Roman"/>
          <w:sz w:val="24"/>
          <w:szCs w:val="24"/>
        </w:rPr>
        <w:t xml:space="preserve">7 </w:t>
      </w:r>
      <w:proofErr w:type="spellStart"/>
      <w:r w:rsidRPr="002F25CE">
        <w:rPr>
          <w:rFonts w:ascii="Times New Roman" w:eastAsia="Calibri" w:hAnsi="Times New Roman" w:cs="Times New Roman"/>
          <w:sz w:val="24"/>
          <w:szCs w:val="24"/>
        </w:rPr>
        <w:t>nci</w:t>
      </w:r>
      <w:proofErr w:type="spellEnd"/>
      <w:proofErr w:type="gramEnd"/>
      <w:r w:rsidRPr="002F25CE">
        <w:rPr>
          <w:rFonts w:ascii="Times New Roman" w:eastAsia="Calibri" w:hAnsi="Times New Roman" w:cs="Times New Roman"/>
          <w:sz w:val="24"/>
          <w:szCs w:val="24"/>
        </w:rPr>
        <w:t xml:space="preserve"> maddesinde yer alan katılım şartları ve ilgili mevzuatta belirlenen diğer tüm şartlara ilişkin bilgi ve belge kontrolünden yüklenici sorumludur. Yüklenici tarafından söz konusu bilgi ve belge kontrol yükümlülüğünün yerine getirilmesi amacıyla katılımcılardan katılım şartlarına yönelik belge talep edilebilir. </w:t>
      </w:r>
    </w:p>
    <w:p w14:paraId="410EED90"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lastRenderedPageBreak/>
        <w:t>7</w:t>
      </w:r>
      <w:r w:rsidRPr="002F25CE">
        <w:rPr>
          <w:rFonts w:ascii="Times New Roman" w:eastAsia="Calibri" w:hAnsi="Times New Roman" w:cs="Times New Roman"/>
          <w:sz w:val="24"/>
          <w:szCs w:val="24"/>
        </w:rPr>
        <w:t xml:space="preserve">. Bir katılımcı, Yönetmelik kapsamında düzenlenen programlardan toplamda en fazla 140 fiili gün yararlanabilir. </w:t>
      </w:r>
    </w:p>
    <w:p w14:paraId="74BC7B89" w14:textId="39F46B3D"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8.</w:t>
      </w:r>
      <w:r w:rsidRPr="002F25CE">
        <w:rPr>
          <w:rFonts w:ascii="Times New Roman" w:eastAsia="Calibri" w:hAnsi="Times New Roman" w:cs="Times New Roman"/>
          <w:sz w:val="24"/>
          <w:szCs w:val="24"/>
        </w:rPr>
        <w:t xml:space="preserve"> Mazeretsiz olarak programdan ayrılanlar, kendi kusuru nedeniyle ilişiği kesilenler veya yararlandığı program bittikten sonra Kurum tarafından niteliklerine uygun bulunan en az iki iş teklifini mazeretsiz olarak kabul etmeyenler son yararlanma tarihi üzerinden on iki ay geçmedikçe Yönetmelik kapsamında düzenlenen programlardan yararlanamaz. </w:t>
      </w:r>
    </w:p>
    <w:p w14:paraId="7DDC28E2"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9.</w:t>
      </w:r>
      <w:r w:rsidRPr="002F25CE">
        <w:rPr>
          <w:rFonts w:ascii="Times New Roman" w:eastAsia="Calibri" w:hAnsi="Times New Roman" w:cs="Times New Roman"/>
          <w:sz w:val="24"/>
          <w:szCs w:val="24"/>
        </w:rPr>
        <w:t xml:space="preserve"> Bir programdan mazeretsiz haller dışında ayrılan kişiler katılım şartlarını sağlamak kaydıyla yeni bir programa başvuru yapabilir veya katılımcı olarak eklenebilir. Bu kişilere yönelik olarak bir bekleme süresi aranmaz.</w:t>
      </w:r>
    </w:p>
    <w:p w14:paraId="02195885"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10.</w:t>
      </w:r>
      <w:r w:rsidRPr="002F25CE">
        <w:rPr>
          <w:rFonts w:ascii="Times New Roman" w:eastAsia="Calibri" w:hAnsi="Times New Roman" w:cs="Times New Roman"/>
          <w:sz w:val="24"/>
          <w:szCs w:val="24"/>
        </w:rPr>
        <w:t xml:space="preserve"> Devam ettiği bir programdan mazeretli ya da mazeretsiz ilişiği kesilen katılımcı aynı programa tekrar katılamaz.</w:t>
      </w:r>
    </w:p>
    <w:p w14:paraId="2165A7E1"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 xml:space="preserve">11. </w:t>
      </w:r>
      <w:r w:rsidRPr="002F25CE">
        <w:rPr>
          <w:rFonts w:ascii="Times New Roman" w:eastAsia="Calibri" w:hAnsi="Times New Roman" w:cs="Times New Roman"/>
          <w:sz w:val="24"/>
          <w:szCs w:val="24"/>
        </w:rPr>
        <w:t xml:space="preserve">Sadece aşağıdaki durumlar programdan ayrılma için mazeret sayılacak, bunlar dışındaki ayrılma halleri ya da devamsızlık vb. gibi katılımcının kendi kusuru nedeniyle ilişiğinin kesilmesi halleri mazeret olarak kabul edilmeyecektir. </w:t>
      </w:r>
    </w:p>
    <w:p w14:paraId="53E63A1B"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 xml:space="preserve">a) Katılımcının bir işe girdiği gerekçesine dayanarak programdan ayrılmak üzere yazılı talepte bulunması ve bunu belgelendirmesi halinde,  </w:t>
      </w:r>
    </w:p>
    <w:p w14:paraId="425006B5"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b) Sağlık raporu ile belgelenen ve Yönetmelik ile belirlenen izin süresini aşan hastalık hali ile birinci derece yakınlarına ve eşine refakat etmesi halinde,</w:t>
      </w:r>
    </w:p>
    <w:p w14:paraId="131E32FC"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c) Yönetmelik ile belirlenen izin süresini aşacak şekilde programa katılımında sakınca görüldüğünün sağlık raporu ile belgelendirilmesi halinde,</w:t>
      </w:r>
    </w:p>
    <w:p w14:paraId="0896B03D" w14:textId="77777777" w:rsidR="002F25CE" w:rsidRPr="002F25CE" w:rsidRDefault="002F25CE" w:rsidP="002F25CE">
      <w:pPr>
        <w:spacing w:after="0"/>
        <w:jc w:val="both"/>
        <w:rPr>
          <w:rFonts w:ascii="Times New Roman" w:eastAsia="Calibri" w:hAnsi="Times New Roman" w:cs="Times New Roman"/>
          <w:sz w:val="24"/>
          <w:szCs w:val="24"/>
        </w:rPr>
      </w:pPr>
      <w:proofErr w:type="gramStart"/>
      <w:r w:rsidRPr="002F25CE">
        <w:rPr>
          <w:rFonts w:ascii="Times New Roman" w:eastAsia="Calibri" w:hAnsi="Times New Roman" w:cs="Times New Roman"/>
          <w:sz w:val="24"/>
          <w:szCs w:val="24"/>
        </w:rPr>
        <w:t>ç</w:t>
      </w:r>
      <w:proofErr w:type="gramEnd"/>
      <w:r w:rsidRPr="002F25CE">
        <w:rPr>
          <w:rFonts w:ascii="Times New Roman" w:eastAsia="Calibri" w:hAnsi="Times New Roman" w:cs="Times New Roman"/>
          <w:sz w:val="24"/>
          <w:szCs w:val="24"/>
        </w:rPr>
        <w:t>) Programa katılmasının ya da devam etmesinin bedenen veya ruhen uygun olmadığının sağlık raporu ile belgelendirilmesi halinde,</w:t>
      </w:r>
    </w:p>
    <w:p w14:paraId="17F3BA9A"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d) Yetkili makamlarca verilen belgelerle ispat edilen Yönetmelik ile belirlenen izin süresini aşan gözaltı, tutukluluk ve hükümlülük hallerinde,</w:t>
      </w:r>
    </w:p>
    <w:p w14:paraId="7C4A6063"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e) Katılımcı olarak belirlendiği bir programda, kişinin Katılımcı Taahhütnamesini imzalamaması halinde,</w:t>
      </w:r>
    </w:p>
    <w:p w14:paraId="4C60A9E1"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f) Yüklenici kurumun bilgisi dahilinde yapılan devamsızlıkların Yönetmelik ile belirlenen izin süresini aşması halinde,</w:t>
      </w:r>
    </w:p>
    <w:p w14:paraId="3361F694"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g) Yetkili makamlarca verilen belgelerle ispat edilen iller arası ikametgâh değişikliği halinde,</w:t>
      </w:r>
    </w:p>
    <w:p w14:paraId="503D5D70" w14:textId="77777777" w:rsidR="002F25CE" w:rsidRPr="002F25CE" w:rsidRDefault="002F25CE" w:rsidP="002F25CE">
      <w:pPr>
        <w:spacing w:after="0"/>
        <w:jc w:val="both"/>
        <w:rPr>
          <w:rFonts w:ascii="Times New Roman" w:eastAsia="Calibri" w:hAnsi="Times New Roman" w:cs="Times New Roman"/>
          <w:sz w:val="24"/>
          <w:szCs w:val="24"/>
        </w:rPr>
      </w:pPr>
      <w:proofErr w:type="gramStart"/>
      <w:r w:rsidRPr="002F25CE">
        <w:rPr>
          <w:rFonts w:ascii="Times New Roman" w:eastAsia="Calibri" w:hAnsi="Times New Roman" w:cs="Times New Roman"/>
          <w:sz w:val="24"/>
          <w:szCs w:val="24"/>
        </w:rPr>
        <w:t>ğ</w:t>
      </w:r>
      <w:proofErr w:type="gramEnd"/>
      <w:r w:rsidRPr="002F25CE">
        <w:rPr>
          <w:rFonts w:ascii="Times New Roman" w:eastAsia="Calibri" w:hAnsi="Times New Roman" w:cs="Times New Roman"/>
          <w:sz w:val="24"/>
          <w:szCs w:val="24"/>
        </w:rPr>
        <w:t xml:space="preserve">) 25/06/2019 tarihli ve 7179 sayılı </w:t>
      </w:r>
      <w:proofErr w:type="spellStart"/>
      <w:r w:rsidRPr="002F25CE">
        <w:rPr>
          <w:rFonts w:ascii="Times New Roman" w:eastAsia="Calibri" w:hAnsi="Times New Roman" w:cs="Times New Roman"/>
          <w:sz w:val="24"/>
          <w:szCs w:val="24"/>
        </w:rPr>
        <w:t>Askeralma</w:t>
      </w:r>
      <w:proofErr w:type="spellEnd"/>
      <w:r w:rsidRPr="002F25CE">
        <w:rPr>
          <w:rFonts w:ascii="Times New Roman" w:eastAsia="Calibri" w:hAnsi="Times New Roman" w:cs="Times New Roman"/>
          <w:sz w:val="24"/>
          <w:szCs w:val="24"/>
        </w:rPr>
        <w:t xml:space="preserve"> Kanunu kapsamında programdan zorunlu askerlik hizmetini gerçekleştirmek için sevk tarihi itibarıyla ayrılması halinde,</w:t>
      </w:r>
    </w:p>
    <w:p w14:paraId="5D366B13"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h) Yetkili makamlarca verilen belgelerle ispat edilen ve Yönetmelik ile belirlenen izin süresini aşacak şekilde katılımcının programa katılımını engelleyen hallerde,</w:t>
      </w:r>
    </w:p>
    <w:p w14:paraId="0BB6AC7F"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ı) Katılımcının niteliklerinin programa uygun olmadığının yüklenici veya il müdürlüğü tarafından tespit edilmesi halinde.</w:t>
      </w:r>
    </w:p>
    <w:p w14:paraId="7A042986"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 xml:space="preserve">12. </w:t>
      </w:r>
      <w:r w:rsidRPr="002F25CE">
        <w:rPr>
          <w:rFonts w:ascii="Times New Roman" w:eastAsia="Calibri" w:hAnsi="Times New Roman" w:cs="Times New Roman"/>
          <w:sz w:val="24"/>
          <w:szCs w:val="24"/>
        </w:rPr>
        <w:t>Program bittikten sonra Kurum tarafından teklif edilen ve niteliklerine uygun en az iki işi mazeretsiz olarak kabul etmeyenlerin tespitinde, katılımcıdan sorumlu olan İş ve Meslek Danışmanının yazılı bildirimleri ya da sistem üzerindeki kayıtları esas alınacaktır. Kurum tarafından teklif edilen bir işi kabul eden ya da kendi imkânıyla bir işe girdiği SGK kayıtlarından tespit edilen katılımcılar için iki iş teklifinin süresinin hesaplanması son girmiş olduğu işten sonra yeniden başlar. Teklif edilen işin, kişinin niteliklerine uygun iş sayılması için aşağıdaki kriterleri taşıması gereklidir:</w:t>
      </w:r>
    </w:p>
    <w:p w14:paraId="0CB9EC06"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a) Kişinin mesleğine, eğitim durumuna, yaşına, cinsiyetine, fizik ve sağlık durumuna uygunluk,</w:t>
      </w:r>
    </w:p>
    <w:p w14:paraId="53A05CD9"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b) Çalışma koşulları itibarıyla, iş hukukunda belirlenmiş olan hükümlere uygunluk (en az asgari ücret verilmesi, günlük ve/veya haftalık çalışma süresinin aşılmaması, fazla çalışma ücreti, yıllık ücretli izin vb.),</w:t>
      </w:r>
    </w:p>
    <w:p w14:paraId="4A16D34A"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c) Kişinin ikamet ettiği yerin belediye mücavir alanı sınırlarında bir iş olması,</w:t>
      </w:r>
    </w:p>
    <w:p w14:paraId="68B48B48" w14:textId="77777777" w:rsidR="002F25CE" w:rsidRPr="002F25CE" w:rsidRDefault="002F25CE" w:rsidP="002F25CE">
      <w:pPr>
        <w:spacing w:after="0"/>
        <w:jc w:val="both"/>
        <w:rPr>
          <w:rFonts w:ascii="Times New Roman" w:eastAsia="Calibri" w:hAnsi="Times New Roman" w:cs="Times New Roman"/>
          <w:sz w:val="24"/>
          <w:szCs w:val="24"/>
        </w:rPr>
      </w:pPr>
      <w:proofErr w:type="gramStart"/>
      <w:r w:rsidRPr="002F25CE">
        <w:rPr>
          <w:rFonts w:ascii="Times New Roman" w:eastAsia="Calibri" w:hAnsi="Times New Roman" w:cs="Times New Roman"/>
          <w:sz w:val="24"/>
          <w:szCs w:val="24"/>
        </w:rPr>
        <w:lastRenderedPageBreak/>
        <w:t>ç</w:t>
      </w:r>
      <w:proofErr w:type="gramEnd"/>
      <w:r w:rsidRPr="002F25CE">
        <w:rPr>
          <w:rFonts w:ascii="Times New Roman" w:eastAsia="Calibri" w:hAnsi="Times New Roman" w:cs="Times New Roman"/>
          <w:sz w:val="24"/>
          <w:szCs w:val="24"/>
        </w:rPr>
        <w:t>) Teklif edilen işin yapılacağı işyerinden, kişinin 22/5/2003 tarihli ve 4857 sayılı İş Kanununun 24/II maddesinde belirtildiği gibi haklı sebeple ayrılmamış olması.</w:t>
      </w:r>
    </w:p>
    <w:p w14:paraId="71503B58"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13.</w:t>
      </w:r>
      <w:r w:rsidRPr="002F25CE">
        <w:rPr>
          <w:rFonts w:ascii="Times New Roman" w:eastAsia="Calibri" w:hAnsi="Times New Roman" w:cs="Times New Roman"/>
          <w:sz w:val="24"/>
          <w:szCs w:val="24"/>
        </w:rPr>
        <w:t xml:space="preserve"> Katılımcıların programa devamı zorunludur. Katılımcılar yükleniciye bilgi vermek ve onay almak kaydıyla; katılım günü olarak belirlenen günler için program süresinin 6 aya kadar olması durumunda 7, daha uzun süreli olması durumunda ise 10 güne kadar izin kullanabilir. İzin kullanılan dönemde katılımcıya herhangi bir ödeme yapılmaz ve SGK bildirimi de devamsızlıklar düşüldükten sonra kalan süre üzerinden yapılır. İznin kullanımı için, izin dilekçesinin yükleniciye onaylatılması gerekmekte olup eğitim günlerine denk gelen izin talepleri dışında dilekçede mazeret bildirilmesi zorunlu değildir.</w:t>
      </w:r>
    </w:p>
    <w:p w14:paraId="2E019847"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14.</w:t>
      </w:r>
      <w:r w:rsidRPr="002F25CE">
        <w:rPr>
          <w:rFonts w:ascii="Times New Roman" w:eastAsia="Calibri" w:hAnsi="Times New Roman" w:cs="Times New Roman"/>
          <w:sz w:val="24"/>
          <w:szCs w:val="24"/>
        </w:rPr>
        <w:t xml:space="preserve"> Sağlık sorunları, evlenme, doğum ve birinci derece yakınlarının vefatı ve benzeri durumlar da izin süresi kapsamında değerlendirilir. Bu kapsamda kullanılacak izinlerde mazeret durumunun belgelendirilmesi şarttır. Ancak kamu düzenini ve programın sürdürülebilirliğini etkileyecek salgın, olağanüstü </w:t>
      </w:r>
      <w:proofErr w:type="gramStart"/>
      <w:r w:rsidRPr="002F25CE">
        <w:rPr>
          <w:rFonts w:ascii="Times New Roman" w:eastAsia="Calibri" w:hAnsi="Times New Roman" w:cs="Times New Roman"/>
          <w:sz w:val="24"/>
          <w:szCs w:val="24"/>
        </w:rPr>
        <w:t>hal</w:t>
      </w:r>
      <w:proofErr w:type="gramEnd"/>
      <w:r w:rsidRPr="002F25CE">
        <w:rPr>
          <w:rFonts w:ascii="Times New Roman" w:eastAsia="Calibri" w:hAnsi="Times New Roman" w:cs="Times New Roman"/>
          <w:sz w:val="24"/>
          <w:szCs w:val="24"/>
        </w:rPr>
        <w:t xml:space="preserve">, seferberlik halleri ve benzeri durumlar nedeniyle yaşanacak devamsızlıkların izin süresi kapsamında değerlendirilip değerlendirilemeyeceğine Genel Müdürlük karar verir. </w:t>
      </w:r>
    </w:p>
    <w:p w14:paraId="0E3BB8A2"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15.</w:t>
      </w:r>
      <w:r w:rsidRPr="002F25CE">
        <w:rPr>
          <w:rFonts w:ascii="Times New Roman" w:eastAsia="Calibri" w:hAnsi="Times New Roman" w:cs="Times New Roman"/>
          <w:sz w:val="24"/>
          <w:szCs w:val="24"/>
        </w:rPr>
        <w:t xml:space="preserve"> 5510 sayılı Kanuna göre iş kazası ve meslek hastalığı kapsamına giren sağlık sorunları hariç, herhangi bir nedenle Yönetmelik ile belirlenen izin sürelerinin aşılması halinde, yüklenici tarafından katılımcının ilişiği kesilerek İl Müdürlüğüne bildirilir.</w:t>
      </w:r>
    </w:p>
    <w:p w14:paraId="2426D45A"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16.</w:t>
      </w:r>
      <w:r w:rsidRPr="002F25CE">
        <w:rPr>
          <w:rFonts w:ascii="Times New Roman" w:eastAsia="Calibri" w:hAnsi="Times New Roman" w:cs="Times New Roman"/>
          <w:sz w:val="24"/>
          <w:szCs w:val="24"/>
        </w:rPr>
        <w:t xml:space="preserve"> Katılımcıların yüklenicinin bilgi ve onayı olmadan ya da belgeye dayalı mücbir nedenleri olmadan bir gün bile devamsızlık yapmaları durumunda programdan ilişikleri kesilerek il müdürlüğüne bildirilir.</w:t>
      </w:r>
    </w:p>
    <w:p w14:paraId="00AD4EB3"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17</w:t>
      </w:r>
      <w:r w:rsidRPr="002F25CE">
        <w:rPr>
          <w:rFonts w:ascii="Times New Roman" w:eastAsia="Calibri" w:hAnsi="Times New Roman" w:cs="Times New Roman"/>
          <w:sz w:val="24"/>
          <w:szCs w:val="24"/>
        </w:rPr>
        <w:t xml:space="preserve">. Programa katılmaya hak kazanan katılımcının programa başladığı ilk fiili gün katılım sağlamadan ayrılması halinde, herhangi bir ödeme yapılmaz. </w:t>
      </w:r>
    </w:p>
    <w:p w14:paraId="13B0DFE1"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18.</w:t>
      </w:r>
      <w:r w:rsidRPr="002F25CE">
        <w:rPr>
          <w:rFonts w:ascii="Times New Roman" w:eastAsia="Calibri" w:hAnsi="Times New Roman" w:cs="Times New Roman"/>
          <w:sz w:val="24"/>
          <w:szCs w:val="24"/>
        </w:rPr>
        <w:t xml:space="preserve">  Her katılımcı devam ettiği günler için Devam Kontrol Çizelgesine imza atmakla yükümlüdür.</w:t>
      </w:r>
    </w:p>
    <w:p w14:paraId="03896CB8"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b/>
          <w:sz w:val="24"/>
          <w:szCs w:val="24"/>
        </w:rPr>
        <w:t>19.</w:t>
      </w:r>
      <w:r w:rsidRPr="002F25CE">
        <w:rPr>
          <w:rFonts w:ascii="Times New Roman" w:eastAsia="Calibri" w:hAnsi="Times New Roman" w:cs="Times New Roman"/>
          <w:sz w:val="24"/>
          <w:szCs w:val="24"/>
        </w:rPr>
        <w:t xml:space="preserve"> Kurum tarafından sunulan hizmetlerin geliştirilmesinde katılımcıların da görüşlerinin alınması amacıyla, Kurum’dan alınan hizmetlerle ilgili her türlü </w:t>
      </w:r>
      <w:proofErr w:type="gramStart"/>
      <w:r w:rsidRPr="002F25CE">
        <w:rPr>
          <w:rFonts w:ascii="Times New Roman" w:eastAsia="Calibri" w:hAnsi="Times New Roman" w:cs="Times New Roman"/>
          <w:sz w:val="24"/>
          <w:szCs w:val="24"/>
        </w:rPr>
        <w:t>şikayet</w:t>
      </w:r>
      <w:proofErr w:type="gramEnd"/>
      <w:r w:rsidRPr="002F25CE">
        <w:rPr>
          <w:rFonts w:ascii="Times New Roman" w:eastAsia="Calibri" w:hAnsi="Times New Roman" w:cs="Times New Roman"/>
          <w:sz w:val="24"/>
          <w:szCs w:val="24"/>
        </w:rPr>
        <w:t>, eleştiri ve önerilerin Kurum’a iletilmesi önem arz etmektedir. Ayrıca Kurum personeli ihtiyaç hâlinde katılımcılarla temas kurarak görüşlerini alabilecektir. Bu nedenle Kurum kayıtlarındaki iletişim bilgilerinin katılımcılar tarafından güncel tutulması gerekmektedir.</w:t>
      </w:r>
    </w:p>
    <w:p w14:paraId="4A1C93BD" w14:textId="77777777" w:rsidR="002F25CE" w:rsidRPr="002F25CE" w:rsidRDefault="002F25CE" w:rsidP="002F25CE">
      <w:pPr>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Yukarıda yer alan hususları ve yürürlükteki mevzuatta yer alan diğer hükümleri okuduğumu ve anladığımı, katılım koşullarını taşıdığımı, programın devamı sırasında belirlenen tüm kurallara uyacağımı, aksi yönde bir tespit olması durumunda da hakkımdaki yaptırımları kabul ettiğimi beyan ederim.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67"/>
        <w:gridCol w:w="4729"/>
        <w:gridCol w:w="1654"/>
        <w:gridCol w:w="2112"/>
      </w:tblGrid>
      <w:tr w:rsidR="002F25CE" w:rsidRPr="002F25CE" w14:paraId="51B6BEC4"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hideMark/>
          </w:tcPr>
          <w:p w14:paraId="455CA765" w14:textId="77777777" w:rsidR="002F25CE" w:rsidRPr="002F25CE" w:rsidRDefault="002F25CE" w:rsidP="002F25CE">
            <w:pPr>
              <w:jc w:val="both"/>
              <w:rPr>
                <w:rFonts w:ascii="Times New Roman" w:eastAsia="Calibri" w:hAnsi="Times New Roman" w:cs="Times New Roman"/>
                <w:b/>
                <w:sz w:val="24"/>
                <w:szCs w:val="24"/>
              </w:rPr>
            </w:pPr>
            <w:r w:rsidRPr="002F25CE">
              <w:rPr>
                <w:rFonts w:ascii="Times New Roman" w:eastAsia="Calibri" w:hAnsi="Times New Roman" w:cs="Times New Roman"/>
                <w:b/>
                <w:sz w:val="24"/>
                <w:szCs w:val="24"/>
              </w:rPr>
              <w:t>Sıra</w:t>
            </w:r>
          </w:p>
        </w:tc>
        <w:tc>
          <w:tcPr>
            <w:tcW w:w="4729" w:type="dxa"/>
            <w:tcBorders>
              <w:top w:val="single" w:sz="4" w:space="0" w:color="auto"/>
              <w:left w:val="single" w:sz="4" w:space="0" w:color="auto"/>
              <w:bottom w:val="single" w:sz="4" w:space="0" w:color="auto"/>
              <w:right w:val="single" w:sz="4" w:space="0" w:color="auto"/>
            </w:tcBorders>
            <w:hideMark/>
          </w:tcPr>
          <w:p w14:paraId="0E8E94E0" w14:textId="77777777" w:rsidR="002F25CE" w:rsidRPr="002F25CE" w:rsidRDefault="002F25CE" w:rsidP="002F25CE">
            <w:pPr>
              <w:jc w:val="both"/>
              <w:rPr>
                <w:rFonts w:ascii="Times New Roman" w:eastAsia="Calibri" w:hAnsi="Times New Roman" w:cs="Times New Roman"/>
                <w:b/>
                <w:sz w:val="24"/>
                <w:szCs w:val="24"/>
              </w:rPr>
            </w:pPr>
            <w:r w:rsidRPr="002F25CE">
              <w:rPr>
                <w:rFonts w:ascii="Times New Roman" w:eastAsia="Calibri" w:hAnsi="Times New Roman" w:cs="Times New Roman"/>
                <w:b/>
                <w:sz w:val="24"/>
                <w:szCs w:val="24"/>
              </w:rPr>
              <w:t>Katılımcının Adı-Soyadı</w:t>
            </w:r>
          </w:p>
        </w:tc>
        <w:tc>
          <w:tcPr>
            <w:tcW w:w="1654" w:type="dxa"/>
            <w:tcBorders>
              <w:top w:val="single" w:sz="4" w:space="0" w:color="auto"/>
              <w:left w:val="single" w:sz="4" w:space="0" w:color="auto"/>
              <w:bottom w:val="single" w:sz="4" w:space="0" w:color="auto"/>
              <w:right w:val="single" w:sz="4" w:space="0" w:color="auto"/>
            </w:tcBorders>
            <w:hideMark/>
          </w:tcPr>
          <w:p w14:paraId="0EF21E49" w14:textId="77777777" w:rsidR="002F25CE" w:rsidRPr="002F25CE" w:rsidRDefault="002F25CE" w:rsidP="002F25CE">
            <w:pPr>
              <w:jc w:val="both"/>
              <w:rPr>
                <w:rFonts w:ascii="Times New Roman" w:eastAsia="Calibri" w:hAnsi="Times New Roman" w:cs="Times New Roman"/>
                <w:b/>
                <w:sz w:val="24"/>
                <w:szCs w:val="24"/>
              </w:rPr>
            </w:pPr>
            <w:r w:rsidRPr="002F25CE">
              <w:rPr>
                <w:rFonts w:ascii="Times New Roman" w:eastAsia="Calibri" w:hAnsi="Times New Roman" w:cs="Times New Roman"/>
                <w:b/>
                <w:sz w:val="24"/>
                <w:szCs w:val="24"/>
              </w:rPr>
              <w:t>Tarih</w:t>
            </w:r>
          </w:p>
        </w:tc>
        <w:tc>
          <w:tcPr>
            <w:tcW w:w="2112" w:type="dxa"/>
            <w:tcBorders>
              <w:top w:val="single" w:sz="4" w:space="0" w:color="auto"/>
              <w:left w:val="single" w:sz="4" w:space="0" w:color="auto"/>
              <w:bottom w:val="single" w:sz="4" w:space="0" w:color="auto"/>
              <w:right w:val="single" w:sz="4" w:space="0" w:color="auto"/>
            </w:tcBorders>
            <w:hideMark/>
          </w:tcPr>
          <w:p w14:paraId="79807FE0" w14:textId="77777777" w:rsidR="002F25CE" w:rsidRPr="002F25CE" w:rsidRDefault="002F25CE" w:rsidP="002F25CE">
            <w:pPr>
              <w:jc w:val="both"/>
              <w:rPr>
                <w:rFonts w:ascii="Times New Roman" w:eastAsia="Calibri" w:hAnsi="Times New Roman" w:cs="Times New Roman"/>
                <w:b/>
                <w:sz w:val="24"/>
                <w:szCs w:val="24"/>
              </w:rPr>
            </w:pPr>
            <w:r w:rsidRPr="002F25CE">
              <w:rPr>
                <w:rFonts w:ascii="Times New Roman" w:eastAsia="Calibri" w:hAnsi="Times New Roman" w:cs="Times New Roman"/>
                <w:b/>
                <w:sz w:val="24"/>
                <w:szCs w:val="24"/>
              </w:rPr>
              <w:t xml:space="preserve"> İmza</w:t>
            </w:r>
          </w:p>
        </w:tc>
      </w:tr>
      <w:tr w:rsidR="002F25CE" w:rsidRPr="002F25CE" w14:paraId="7DAA34A9"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hideMark/>
          </w:tcPr>
          <w:p w14:paraId="6AC151EC" w14:textId="77777777" w:rsidR="002F25CE" w:rsidRPr="002F25CE" w:rsidRDefault="002F25CE" w:rsidP="002F25CE">
            <w:pPr>
              <w:jc w:val="both"/>
              <w:rPr>
                <w:rFonts w:ascii="Times New Roman" w:eastAsia="Calibri" w:hAnsi="Times New Roman" w:cs="Times New Roman"/>
                <w:b/>
                <w:bCs/>
                <w:color w:val="000000"/>
                <w:sz w:val="24"/>
                <w:szCs w:val="24"/>
              </w:rPr>
            </w:pPr>
            <w:r w:rsidRPr="002F25CE">
              <w:rPr>
                <w:rFonts w:ascii="Times New Roman" w:eastAsia="Calibri" w:hAnsi="Times New Roman" w:cs="Times New Roman"/>
                <w:b/>
                <w:bCs/>
                <w:color w:val="000000"/>
                <w:sz w:val="24"/>
                <w:szCs w:val="24"/>
              </w:rPr>
              <w:t>1.</w:t>
            </w:r>
          </w:p>
        </w:tc>
        <w:tc>
          <w:tcPr>
            <w:tcW w:w="4729" w:type="dxa"/>
            <w:tcBorders>
              <w:top w:val="single" w:sz="4" w:space="0" w:color="auto"/>
              <w:left w:val="single" w:sz="4" w:space="0" w:color="auto"/>
              <w:bottom w:val="single" w:sz="4" w:space="0" w:color="auto"/>
              <w:right w:val="single" w:sz="4" w:space="0" w:color="auto"/>
            </w:tcBorders>
            <w:vAlign w:val="center"/>
          </w:tcPr>
          <w:p w14:paraId="1570BA15" w14:textId="77777777" w:rsidR="002F25CE" w:rsidRPr="002F25CE" w:rsidRDefault="002F25CE"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hideMark/>
          </w:tcPr>
          <w:p w14:paraId="209F67F6" w14:textId="77777777" w:rsidR="002F25CE" w:rsidRPr="002F25CE" w:rsidRDefault="002F25CE" w:rsidP="002F25CE">
            <w:pPr>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w:t>
            </w:r>
            <w:proofErr w:type="gramStart"/>
            <w:r w:rsidRPr="002F25CE">
              <w:rPr>
                <w:rFonts w:ascii="Times New Roman" w:eastAsia="Calibri" w:hAnsi="Times New Roman" w:cs="Times New Roman"/>
                <w:sz w:val="24"/>
                <w:szCs w:val="24"/>
              </w:rPr>
              <w:t>/.…</w:t>
            </w:r>
            <w:proofErr w:type="gramEnd"/>
            <w:r w:rsidRPr="002F25CE">
              <w:rPr>
                <w:rFonts w:ascii="Times New Roman" w:eastAsia="Calibri" w:hAnsi="Times New Roman" w:cs="Times New Roman"/>
                <w:sz w:val="24"/>
                <w:szCs w:val="24"/>
              </w:rPr>
              <w:t>./20…..</w:t>
            </w:r>
          </w:p>
        </w:tc>
        <w:tc>
          <w:tcPr>
            <w:tcW w:w="2112" w:type="dxa"/>
            <w:tcBorders>
              <w:top w:val="single" w:sz="4" w:space="0" w:color="auto"/>
              <w:left w:val="single" w:sz="4" w:space="0" w:color="auto"/>
              <w:bottom w:val="single" w:sz="4" w:space="0" w:color="auto"/>
              <w:right w:val="single" w:sz="4" w:space="0" w:color="auto"/>
            </w:tcBorders>
            <w:vAlign w:val="center"/>
          </w:tcPr>
          <w:p w14:paraId="1E6401EA" w14:textId="77777777" w:rsidR="002F25CE" w:rsidRPr="002F25CE" w:rsidRDefault="002F25CE" w:rsidP="002F25CE">
            <w:pPr>
              <w:jc w:val="both"/>
              <w:rPr>
                <w:rFonts w:ascii="Times New Roman" w:eastAsia="Calibri" w:hAnsi="Times New Roman" w:cs="Times New Roman"/>
                <w:sz w:val="24"/>
                <w:szCs w:val="24"/>
              </w:rPr>
            </w:pPr>
          </w:p>
        </w:tc>
      </w:tr>
      <w:tr w:rsidR="002F25CE" w:rsidRPr="002F25CE" w14:paraId="4F978D41"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hideMark/>
          </w:tcPr>
          <w:p w14:paraId="05B3429D" w14:textId="77777777" w:rsidR="002F25CE" w:rsidRPr="002F25CE" w:rsidRDefault="002F25CE" w:rsidP="002F25CE">
            <w:pPr>
              <w:jc w:val="both"/>
              <w:rPr>
                <w:rFonts w:ascii="Times New Roman" w:eastAsia="Calibri" w:hAnsi="Times New Roman" w:cs="Times New Roman"/>
                <w:b/>
                <w:bCs/>
                <w:color w:val="000000"/>
                <w:sz w:val="24"/>
                <w:szCs w:val="24"/>
              </w:rPr>
            </w:pPr>
            <w:r w:rsidRPr="002F25CE">
              <w:rPr>
                <w:rFonts w:ascii="Times New Roman" w:eastAsia="Calibri" w:hAnsi="Times New Roman" w:cs="Times New Roman"/>
                <w:b/>
                <w:bCs/>
                <w:color w:val="000000"/>
                <w:sz w:val="24"/>
                <w:szCs w:val="24"/>
              </w:rPr>
              <w:t>2.</w:t>
            </w:r>
          </w:p>
        </w:tc>
        <w:tc>
          <w:tcPr>
            <w:tcW w:w="4729" w:type="dxa"/>
            <w:tcBorders>
              <w:top w:val="single" w:sz="4" w:space="0" w:color="auto"/>
              <w:left w:val="single" w:sz="4" w:space="0" w:color="auto"/>
              <w:bottom w:val="single" w:sz="4" w:space="0" w:color="auto"/>
              <w:right w:val="single" w:sz="4" w:space="0" w:color="auto"/>
            </w:tcBorders>
            <w:vAlign w:val="center"/>
          </w:tcPr>
          <w:p w14:paraId="490F4765" w14:textId="77777777" w:rsidR="002F25CE" w:rsidRPr="002F25CE" w:rsidRDefault="002F25CE"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6A32B6AB" w14:textId="77777777" w:rsidR="002F25CE" w:rsidRPr="002F25CE" w:rsidRDefault="002F25CE"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3696BB2D" w14:textId="77777777" w:rsidR="002F25CE" w:rsidRPr="002F25CE" w:rsidRDefault="002F25CE" w:rsidP="002F25CE">
            <w:pPr>
              <w:jc w:val="both"/>
              <w:rPr>
                <w:rFonts w:ascii="Times New Roman" w:eastAsia="Calibri" w:hAnsi="Times New Roman" w:cs="Times New Roman"/>
                <w:sz w:val="24"/>
                <w:szCs w:val="24"/>
              </w:rPr>
            </w:pPr>
          </w:p>
        </w:tc>
      </w:tr>
      <w:tr w:rsidR="002F25CE" w:rsidRPr="002F25CE" w14:paraId="4EE687DD"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hideMark/>
          </w:tcPr>
          <w:p w14:paraId="0412E3A3" w14:textId="77777777" w:rsidR="002F25CE" w:rsidRPr="002F25CE" w:rsidRDefault="002F25CE" w:rsidP="002F25CE">
            <w:pPr>
              <w:jc w:val="both"/>
              <w:rPr>
                <w:rFonts w:ascii="Times New Roman" w:eastAsia="Calibri" w:hAnsi="Times New Roman" w:cs="Times New Roman"/>
                <w:b/>
                <w:bCs/>
                <w:color w:val="000000"/>
                <w:sz w:val="24"/>
                <w:szCs w:val="24"/>
              </w:rPr>
            </w:pPr>
            <w:r w:rsidRPr="002F25CE">
              <w:rPr>
                <w:rFonts w:ascii="Times New Roman" w:eastAsia="Calibri" w:hAnsi="Times New Roman" w:cs="Times New Roman"/>
                <w:b/>
                <w:bCs/>
                <w:color w:val="000000"/>
                <w:sz w:val="24"/>
                <w:szCs w:val="24"/>
              </w:rPr>
              <w:t>3.</w:t>
            </w:r>
          </w:p>
        </w:tc>
        <w:tc>
          <w:tcPr>
            <w:tcW w:w="4729" w:type="dxa"/>
            <w:tcBorders>
              <w:top w:val="single" w:sz="4" w:space="0" w:color="auto"/>
              <w:left w:val="single" w:sz="4" w:space="0" w:color="auto"/>
              <w:bottom w:val="single" w:sz="4" w:space="0" w:color="auto"/>
              <w:right w:val="single" w:sz="4" w:space="0" w:color="auto"/>
            </w:tcBorders>
            <w:vAlign w:val="center"/>
          </w:tcPr>
          <w:p w14:paraId="63B3A2B4" w14:textId="77777777" w:rsidR="002F25CE" w:rsidRPr="002F25CE" w:rsidRDefault="002F25CE"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7D75BFF5" w14:textId="77777777" w:rsidR="002F25CE" w:rsidRPr="002F25CE" w:rsidRDefault="002F25CE"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295221C7" w14:textId="77777777" w:rsidR="002F25CE" w:rsidRPr="002F25CE" w:rsidRDefault="002F25CE" w:rsidP="002F25CE">
            <w:pPr>
              <w:jc w:val="both"/>
              <w:rPr>
                <w:rFonts w:ascii="Times New Roman" w:eastAsia="Calibri" w:hAnsi="Times New Roman" w:cs="Times New Roman"/>
                <w:sz w:val="24"/>
                <w:szCs w:val="24"/>
              </w:rPr>
            </w:pPr>
          </w:p>
        </w:tc>
      </w:tr>
      <w:tr w:rsidR="002F25CE" w:rsidRPr="002F25CE" w14:paraId="4121E0EA"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hideMark/>
          </w:tcPr>
          <w:p w14:paraId="7CF70871" w14:textId="77777777" w:rsidR="002F25CE" w:rsidRPr="002F25CE" w:rsidRDefault="002F25CE" w:rsidP="002F25CE">
            <w:pPr>
              <w:jc w:val="both"/>
              <w:rPr>
                <w:rFonts w:ascii="Times New Roman" w:eastAsia="Calibri" w:hAnsi="Times New Roman" w:cs="Times New Roman"/>
                <w:b/>
                <w:bCs/>
                <w:color w:val="000000"/>
                <w:sz w:val="24"/>
                <w:szCs w:val="24"/>
              </w:rPr>
            </w:pPr>
            <w:r w:rsidRPr="002F25CE">
              <w:rPr>
                <w:rFonts w:ascii="Times New Roman" w:eastAsia="Calibri" w:hAnsi="Times New Roman" w:cs="Times New Roman"/>
                <w:b/>
                <w:bCs/>
                <w:color w:val="000000"/>
                <w:sz w:val="24"/>
                <w:szCs w:val="24"/>
              </w:rPr>
              <w:t>4.</w:t>
            </w:r>
          </w:p>
        </w:tc>
        <w:tc>
          <w:tcPr>
            <w:tcW w:w="4729" w:type="dxa"/>
            <w:tcBorders>
              <w:top w:val="single" w:sz="4" w:space="0" w:color="auto"/>
              <w:left w:val="single" w:sz="4" w:space="0" w:color="auto"/>
              <w:bottom w:val="single" w:sz="4" w:space="0" w:color="auto"/>
              <w:right w:val="single" w:sz="4" w:space="0" w:color="auto"/>
            </w:tcBorders>
            <w:vAlign w:val="center"/>
          </w:tcPr>
          <w:p w14:paraId="2C0BCB1E" w14:textId="77777777" w:rsidR="002F25CE" w:rsidRPr="002F25CE" w:rsidRDefault="002F25CE"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5B7BFF4F" w14:textId="77777777" w:rsidR="002F25CE" w:rsidRPr="002F25CE" w:rsidRDefault="002F25CE"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3EFE697E" w14:textId="77777777" w:rsidR="002F25CE" w:rsidRPr="002F25CE" w:rsidRDefault="002F25CE" w:rsidP="002F25CE">
            <w:pPr>
              <w:jc w:val="both"/>
              <w:rPr>
                <w:rFonts w:ascii="Times New Roman" w:eastAsia="Calibri" w:hAnsi="Times New Roman" w:cs="Times New Roman"/>
                <w:sz w:val="24"/>
                <w:szCs w:val="24"/>
              </w:rPr>
            </w:pPr>
          </w:p>
        </w:tc>
      </w:tr>
      <w:tr w:rsidR="002F25CE" w:rsidRPr="002F25CE" w14:paraId="33FB3DFB"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hideMark/>
          </w:tcPr>
          <w:p w14:paraId="4BBE3830" w14:textId="77777777" w:rsidR="002F25CE" w:rsidRPr="002F25CE" w:rsidRDefault="002F25CE" w:rsidP="002F25CE">
            <w:pPr>
              <w:jc w:val="both"/>
              <w:rPr>
                <w:rFonts w:ascii="Times New Roman" w:eastAsia="Calibri" w:hAnsi="Times New Roman" w:cs="Times New Roman"/>
                <w:b/>
                <w:bCs/>
                <w:color w:val="000000"/>
                <w:sz w:val="24"/>
                <w:szCs w:val="24"/>
              </w:rPr>
            </w:pPr>
            <w:r w:rsidRPr="002F25CE">
              <w:rPr>
                <w:rFonts w:ascii="Times New Roman" w:eastAsia="Calibri" w:hAnsi="Times New Roman" w:cs="Times New Roman"/>
                <w:b/>
                <w:bCs/>
                <w:color w:val="000000"/>
                <w:sz w:val="24"/>
                <w:szCs w:val="24"/>
              </w:rPr>
              <w:t>5.</w:t>
            </w:r>
          </w:p>
        </w:tc>
        <w:tc>
          <w:tcPr>
            <w:tcW w:w="4729" w:type="dxa"/>
            <w:tcBorders>
              <w:top w:val="single" w:sz="4" w:space="0" w:color="auto"/>
              <w:left w:val="single" w:sz="4" w:space="0" w:color="auto"/>
              <w:bottom w:val="single" w:sz="4" w:space="0" w:color="auto"/>
              <w:right w:val="single" w:sz="4" w:space="0" w:color="auto"/>
            </w:tcBorders>
            <w:vAlign w:val="center"/>
          </w:tcPr>
          <w:p w14:paraId="5B7E78B4" w14:textId="77777777" w:rsidR="002F25CE" w:rsidRPr="002F25CE" w:rsidRDefault="002F25CE"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1DE9877B" w14:textId="77777777" w:rsidR="002F25CE" w:rsidRPr="002F25CE" w:rsidRDefault="002F25CE"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22FF375A" w14:textId="77777777" w:rsidR="002F25CE" w:rsidRPr="002F25CE" w:rsidRDefault="002F25CE" w:rsidP="002F25CE">
            <w:pPr>
              <w:jc w:val="both"/>
              <w:rPr>
                <w:rFonts w:ascii="Times New Roman" w:eastAsia="Calibri" w:hAnsi="Times New Roman" w:cs="Times New Roman"/>
                <w:sz w:val="24"/>
                <w:szCs w:val="24"/>
              </w:rPr>
            </w:pPr>
          </w:p>
        </w:tc>
      </w:tr>
      <w:tr w:rsidR="004E21D2" w:rsidRPr="002F25CE" w14:paraId="40BBF8FB"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51027A06"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671027E5"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71D775B9"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71CC2BDF"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461488F6"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064B8F7A"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1BCBEA14"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78DFC1ED"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3B1F97EF"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45A42246"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1CD716BE"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0290348B"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713C70D7"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36C1D8BA"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0854041D"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44C3B4F1"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23014F67"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044FF1B2"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09F7F3E3"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1E26555C"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3EB5FEAA"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66F78883"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413CF1BE"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5A12CBEE"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53CFCBBE"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3FA5737A"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494BECFB"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00CF34FA"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282FFB7E"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2C10C217"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65C81B7D"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48D37C4D"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74547368"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66DC4A06"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4F1B7BAA"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19F2B424"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0EF57D02"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7AC9647B"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1B20A9B6"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3D674D61"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3FBDF950"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76125138"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37C2C569"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461C0E8F"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38C1C460"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3F105C61"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71B4BC6B"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3DAD4424"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3B1BE8E1"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0EB3F048"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7C975909"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553F9705"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03917243"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7DD926D7"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6889D104"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2815BC78"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64EC17EA"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505E616B"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4FCC37E9"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3D4F5B78"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1D4272E9"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193F1F80"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25A83696"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4142DE1A"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428818D8"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2874E423"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2760C884"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46F93377"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613828F5"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10AFFEDE"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7A2DE823"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4E2F8678"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104677E6"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7A725EE9"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4FFB07B9"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4AD1459E"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5968965D"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1C5D5111"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42FBC680"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6E2F539B"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46AEF3BC"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40C93AC7"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02E0C913"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048E9D25"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671AC087"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28A756DD"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36BC26B1"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6B2515F0"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08C77687"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06D9271B"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0858F0AF"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571623CB"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076801C2"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3C182F3E"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18A3CB68"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53BDF885"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39F3EB9F"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5DA2FC6A"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50BA5D8D"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239940F9"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7AF9D4A5"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5D5FBCF2"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3CE06542"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07996A8C"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4ACEE1ED"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495E4834"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4104D220"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70FDEA4B"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581222D3"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419DB359"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7DBE22CD"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024A0D49"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6DEC51E7"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1E0F0774"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5B7F05E3"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59F63EBD"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56D1B798"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467D2161"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497653F0"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41522FD4"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7DB5112C"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2660CD81"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6AB8A5E7"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48C1792B"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3B5E4505"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09019D41"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1DFA73CC"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2C3920E4"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26AFA51E"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5C188DDF"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2A8A917B"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20FBEC29"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7B9F9784"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34848CC1" w14:textId="77777777" w:rsidR="004E21D2" w:rsidRPr="002F25CE" w:rsidRDefault="004E21D2" w:rsidP="002F25CE">
            <w:pPr>
              <w:jc w:val="both"/>
              <w:rPr>
                <w:rFonts w:ascii="Times New Roman" w:eastAsia="Calibri" w:hAnsi="Times New Roman" w:cs="Times New Roman"/>
                <w:sz w:val="24"/>
                <w:szCs w:val="24"/>
              </w:rPr>
            </w:pPr>
          </w:p>
        </w:tc>
      </w:tr>
      <w:tr w:rsidR="004E21D2" w:rsidRPr="002F25CE" w14:paraId="73E308F7" w14:textId="77777777" w:rsidTr="009175D9">
        <w:trPr>
          <w:trHeight w:val="340"/>
        </w:trPr>
        <w:tc>
          <w:tcPr>
            <w:tcW w:w="567" w:type="dxa"/>
            <w:tcBorders>
              <w:top w:val="single" w:sz="4" w:space="0" w:color="auto"/>
              <w:left w:val="single" w:sz="4" w:space="0" w:color="auto"/>
              <w:bottom w:val="single" w:sz="4" w:space="0" w:color="auto"/>
              <w:right w:val="single" w:sz="4" w:space="0" w:color="auto"/>
            </w:tcBorders>
            <w:vAlign w:val="center"/>
          </w:tcPr>
          <w:p w14:paraId="350781F9" w14:textId="77777777" w:rsidR="004E21D2" w:rsidRPr="002F25CE" w:rsidRDefault="004E21D2" w:rsidP="002F25CE">
            <w:pPr>
              <w:jc w:val="both"/>
              <w:rPr>
                <w:rFonts w:ascii="Times New Roman" w:eastAsia="Calibri" w:hAnsi="Times New Roman" w:cs="Times New Roman"/>
                <w:b/>
                <w:bCs/>
                <w:color w:val="000000"/>
                <w:sz w:val="24"/>
                <w:szCs w:val="24"/>
              </w:rPr>
            </w:pPr>
          </w:p>
        </w:tc>
        <w:tc>
          <w:tcPr>
            <w:tcW w:w="4729" w:type="dxa"/>
            <w:tcBorders>
              <w:top w:val="single" w:sz="4" w:space="0" w:color="auto"/>
              <w:left w:val="single" w:sz="4" w:space="0" w:color="auto"/>
              <w:bottom w:val="single" w:sz="4" w:space="0" w:color="auto"/>
              <w:right w:val="single" w:sz="4" w:space="0" w:color="auto"/>
            </w:tcBorders>
            <w:vAlign w:val="center"/>
          </w:tcPr>
          <w:p w14:paraId="7C11FEC0" w14:textId="77777777" w:rsidR="004E21D2" w:rsidRPr="002F25CE" w:rsidRDefault="004E21D2" w:rsidP="002F25CE">
            <w:pPr>
              <w:jc w:val="both"/>
              <w:rPr>
                <w:rFonts w:ascii="Times New Roman" w:eastAsia="Calibri" w:hAnsi="Times New Roman" w:cs="Times New Roman"/>
                <w:sz w:val="24"/>
                <w:szCs w:val="24"/>
              </w:rPr>
            </w:pPr>
          </w:p>
        </w:tc>
        <w:tc>
          <w:tcPr>
            <w:tcW w:w="1654" w:type="dxa"/>
            <w:tcBorders>
              <w:top w:val="single" w:sz="4" w:space="0" w:color="auto"/>
              <w:left w:val="single" w:sz="4" w:space="0" w:color="auto"/>
              <w:bottom w:val="single" w:sz="4" w:space="0" w:color="auto"/>
              <w:right w:val="single" w:sz="4" w:space="0" w:color="auto"/>
            </w:tcBorders>
            <w:vAlign w:val="center"/>
          </w:tcPr>
          <w:p w14:paraId="59670F06" w14:textId="77777777" w:rsidR="004E21D2" w:rsidRPr="002F25CE" w:rsidRDefault="004E21D2" w:rsidP="002F25CE">
            <w:pPr>
              <w:jc w:val="both"/>
              <w:rPr>
                <w:rFonts w:ascii="Times New Roman" w:eastAsia="Calibri" w:hAnsi="Times New Roman" w:cs="Times New Roman"/>
                <w:sz w:val="24"/>
                <w:szCs w:val="24"/>
              </w:rPr>
            </w:pPr>
          </w:p>
        </w:tc>
        <w:tc>
          <w:tcPr>
            <w:tcW w:w="2112" w:type="dxa"/>
            <w:tcBorders>
              <w:top w:val="single" w:sz="4" w:space="0" w:color="auto"/>
              <w:left w:val="single" w:sz="4" w:space="0" w:color="auto"/>
              <w:bottom w:val="single" w:sz="4" w:space="0" w:color="auto"/>
              <w:right w:val="single" w:sz="4" w:space="0" w:color="auto"/>
            </w:tcBorders>
            <w:vAlign w:val="center"/>
          </w:tcPr>
          <w:p w14:paraId="61B83C02" w14:textId="77777777" w:rsidR="004E21D2" w:rsidRPr="002F25CE" w:rsidRDefault="004E21D2" w:rsidP="002F25CE">
            <w:pPr>
              <w:jc w:val="both"/>
              <w:rPr>
                <w:rFonts w:ascii="Times New Roman" w:eastAsia="Calibri" w:hAnsi="Times New Roman" w:cs="Times New Roman"/>
                <w:sz w:val="24"/>
                <w:szCs w:val="24"/>
              </w:rPr>
            </w:pPr>
          </w:p>
        </w:tc>
      </w:tr>
    </w:tbl>
    <w:p w14:paraId="48858832" w14:textId="77777777" w:rsidR="002F25CE" w:rsidRPr="002F25CE" w:rsidRDefault="002F25CE" w:rsidP="002F25CE">
      <w:pPr>
        <w:spacing w:after="0"/>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ab/>
      </w:r>
    </w:p>
    <w:p w14:paraId="45C6C0FA" w14:textId="77777777" w:rsidR="002F25CE" w:rsidRPr="002F25CE" w:rsidRDefault="002F25CE" w:rsidP="002F25CE">
      <w:pPr>
        <w:jc w:val="both"/>
        <w:rPr>
          <w:rFonts w:ascii="Times New Roman" w:eastAsia="Calibri" w:hAnsi="Times New Roman" w:cs="Times New Roman"/>
          <w:sz w:val="24"/>
          <w:szCs w:val="24"/>
        </w:rPr>
      </w:pPr>
      <w:r w:rsidRPr="002F25CE">
        <w:rPr>
          <w:rFonts w:ascii="Times New Roman" w:eastAsia="Calibri" w:hAnsi="Times New Roman" w:cs="Times New Roman"/>
          <w:sz w:val="24"/>
          <w:szCs w:val="24"/>
        </w:rPr>
        <w:t>* İhtiyaca göre listedeki satırlar artırılabilir.</w:t>
      </w:r>
      <w:r w:rsidRPr="002F25CE">
        <w:rPr>
          <w:rFonts w:ascii="Times New Roman" w:eastAsia="Calibri" w:hAnsi="Times New Roman" w:cs="Times New Roman"/>
          <w:sz w:val="24"/>
          <w:szCs w:val="24"/>
        </w:rPr>
        <w:tab/>
        <w:t xml:space="preserve"> </w:t>
      </w:r>
    </w:p>
    <w:p w14:paraId="67799266" w14:textId="77777777" w:rsidR="00372BC7" w:rsidRDefault="00372BC7"/>
    <w:sectPr w:rsidR="00372BC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093"/>
    <w:rsid w:val="002F25CE"/>
    <w:rsid w:val="00372BC7"/>
    <w:rsid w:val="004E21D2"/>
    <w:rsid w:val="0052713E"/>
    <w:rsid w:val="008E3870"/>
    <w:rsid w:val="00C84B6D"/>
    <w:rsid w:val="00DC095E"/>
    <w:rsid w:val="00F1109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6CAA2D1-F58B-41CC-8499-62F3B0BAB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2134</Words>
  <Characters>12167</Characters>
  <Application>Microsoft Office Word</Application>
  <DocSecurity>0</DocSecurity>
  <Lines>101</Lines>
  <Paragraphs>28</Paragraphs>
  <ScaleCrop>false</ScaleCrop>
  <HeadingPairs>
    <vt:vector size="4" baseType="variant">
      <vt:variant>
        <vt:lpstr>Konu Başlığı</vt:lpstr>
      </vt:variant>
      <vt:variant>
        <vt:i4>1</vt:i4>
      </vt:variant>
      <vt:variant>
        <vt:lpstr>Başlıklar</vt:lpstr>
      </vt:variant>
      <vt:variant>
        <vt:i4>1</vt:i4>
      </vt:variant>
    </vt:vector>
  </HeadingPairs>
  <TitlesOfParts>
    <vt:vector size="2" baseType="lpstr">
      <vt:lpstr/>
      <vt:lpstr>EK-1:	İŞKUR Gençlik Programı Katılımcı Taahhütnamesi</vt:lpstr>
    </vt:vector>
  </TitlesOfParts>
  <Company/>
  <LinksUpToDate>false</LinksUpToDate>
  <CharactersWithSpaces>14273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Ayten KÖKSAL</dc:creator>
  <cp:keywords/>
  <dc:description/>
  <cp:lastModifiedBy>asus</cp:lastModifiedBy>
  <cp:revision>2</cp:revision>
  <dcterms:created xsi:type="dcterms:W3CDTF">2025-02-23T22:03:00Z</dcterms:created>
  <dcterms:modified xsi:type="dcterms:W3CDTF">2025-02-23T22:03:00Z</dcterms:modified>
</cp:coreProperties>
</file>